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B22" w:rsidRDefault="00083B22" w:rsidP="00083B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Сольфеджио</w:t>
      </w:r>
    </w:p>
    <w:p w:rsidR="00083B22" w:rsidRDefault="00083B22" w:rsidP="00083B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 4 (4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083B22" w:rsidRDefault="00083B22" w:rsidP="00083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Pr="005E191C">
        <w:rPr>
          <w:rFonts w:ascii="Times New Roman" w:hAnsi="Times New Roman" w:cs="Times New Roman"/>
          <w:sz w:val="28"/>
          <w:szCs w:val="28"/>
        </w:rPr>
        <w:t>.04.2020г.</w:t>
      </w:r>
    </w:p>
    <w:p w:rsidR="00083B22" w:rsidRPr="00083B22" w:rsidRDefault="00083B22" w:rsidP="00083B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083B22">
        <w:rPr>
          <w:rFonts w:ascii="Times New Roman" w:hAnsi="Times New Roman" w:cs="Times New Roman"/>
          <w:sz w:val="28"/>
          <w:szCs w:val="28"/>
        </w:rPr>
        <w:t>Модуляция, отклонения</w:t>
      </w:r>
    </w:p>
    <w:p w:rsidR="00277233" w:rsidRPr="00083B22" w:rsidRDefault="00083B22" w:rsidP="00277233">
      <w:pPr>
        <w:pStyle w:val="a6"/>
        <w:rPr>
          <w:rFonts w:ascii="Arial" w:hAnsi="Arial" w:cs="Arial"/>
          <w:color w:val="777777"/>
          <w:sz w:val="18"/>
          <w:szCs w:val="18"/>
          <w:lang w:eastAsia="ru-RU"/>
        </w:rPr>
      </w:pPr>
      <w:r w:rsidRPr="002772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Модуляцией</w:t>
      </w:r>
      <w:r w:rsidRPr="00277233">
        <w:rPr>
          <w:rFonts w:ascii="Times New Roman" w:hAnsi="Times New Roman" w:cs="Times New Roman"/>
          <w:sz w:val="28"/>
          <w:szCs w:val="28"/>
          <w:lang w:eastAsia="ru-RU"/>
        </w:rPr>
        <w:t> называется переход в новую тональность с</w:t>
      </w:r>
      <w:r w:rsidR="00277233" w:rsidRPr="00277233">
        <w:rPr>
          <w:rFonts w:ascii="Times New Roman" w:hAnsi="Times New Roman" w:cs="Times New Roman"/>
          <w:sz w:val="28"/>
          <w:szCs w:val="28"/>
          <w:lang w:eastAsia="ru-RU"/>
        </w:rPr>
        <w:t xml:space="preserve"> завершением в ней музыкального </w:t>
      </w:r>
      <w:r w:rsidRPr="00277233">
        <w:rPr>
          <w:rFonts w:ascii="Times New Roman" w:hAnsi="Times New Roman" w:cs="Times New Roman"/>
          <w:sz w:val="28"/>
          <w:szCs w:val="28"/>
          <w:lang w:eastAsia="ru-RU"/>
        </w:rPr>
        <w:t>построения.</w:t>
      </w:r>
      <w:r w:rsidRPr="00277233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27723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Отклонением </w:t>
      </w:r>
      <w:r w:rsidRPr="00277233">
        <w:rPr>
          <w:rFonts w:ascii="Times New Roman" w:hAnsi="Times New Roman" w:cs="Times New Roman"/>
          <w:sz w:val="28"/>
          <w:szCs w:val="28"/>
          <w:lang w:eastAsia="ru-RU"/>
        </w:rPr>
        <w:t>называется смена тональности внутри построения без закрепления новой тоники.</w:t>
      </w:r>
      <w:r w:rsidRPr="00277233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Отклонение обычно имеет проходящий характер, являясь средством кратковременного выделения (подчеркивания) функций отдельных </w:t>
      </w:r>
      <w:proofErr w:type="spellStart"/>
      <w:r w:rsidRPr="00277233">
        <w:rPr>
          <w:rFonts w:ascii="Times New Roman" w:hAnsi="Times New Roman" w:cs="Times New Roman"/>
          <w:sz w:val="28"/>
          <w:szCs w:val="28"/>
          <w:lang w:eastAsia="ru-RU"/>
        </w:rPr>
        <w:t>аккордоз</w:t>
      </w:r>
      <w:proofErr w:type="spellEnd"/>
      <w:r w:rsidRPr="00277233">
        <w:rPr>
          <w:rFonts w:ascii="Times New Roman" w:hAnsi="Times New Roman" w:cs="Times New Roman"/>
          <w:sz w:val="28"/>
          <w:szCs w:val="28"/>
          <w:lang w:eastAsia="ru-RU"/>
        </w:rPr>
        <w:t>, встречающихся в музыкальном построении.</w:t>
      </w:r>
      <w:r w:rsidRPr="00083B22">
        <w:rPr>
          <w:lang w:eastAsia="ru-RU"/>
        </w:rPr>
        <w:br/>
      </w:r>
      <w:r w:rsidRPr="00277233">
        <w:rPr>
          <w:rFonts w:ascii="Times New Roman" w:hAnsi="Times New Roman" w:cs="Times New Roman"/>
          <w:sz w:val="24"/>
          <w:szCs w:val="24"/>
          <w:lang w:eastAsia="ru-RU"/>
        </w:rPr>
        <w:t xml:space="preserve">Пример </w:t>
      </w:r>
      <w:r w:rsidRPr="00277233">
        <w:rPr>
          <w:rFonts w:ascii="Times New Roman" w:hAnsi="Times New Roman" w:cs="Times New Roman"/>
          <w:color w:val="777777"/>
          <w:sz w:val="24"/>
          <w:szCs w:val="24"/>
          <w:lang w:eastAsia="ru-RU"/>
        </w:rPr>
        <w:t>отклонения:</w:t>
      </w:r>
      <w:r w:rsidRPr="00083B22">
        <w:rPr>
          <w:rFonts w:ascii="Arial" w:hAnsi="Arial" w:cs="Arial"/>
          <w:color w:val="777777"/>
          <w:sz w:val="18"/>
          <w:szCs w:val="18"/>
          <w:lang w:eastAsia="ru-RU"/>
        </w:rPr>
        <w:br/>
      </w:r>
    </w:p>
    <w:p w:rsidR="00277233" w:rsidRDefault="00083B22" w:rsidP="00277233">
      <w:pPr>
        <w:pStyle w:val="a6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83B22">
        <w:rPr>
          <w:rFonts w:ascii="Arial" w:hAnsi="Arial" w:cs="Arial"/>
          <w:noProof/>
          <w:color w:val="777777"/>
          <w:sz w:val="18"/>
          <w:szCs w:val="18"/>
          <w:lang w:eastAsia="ru-RU"/>
        </w:rPr>
        <w:drawing>
          <wp:inline distT="0" distB="0" distL="0" distR="0" wp14:anchorId="13986D41" wp14:editId="59A415ED">
            <wp:extent cx="6086475" cy="3267075"/>
            <wp:effectExtent l="0" t="0" r="9525" b="9525"/>
            <wp:docPr id="4" name="Рисунок 4" descr="http://softpractice.ru/images/stories/Vahromeev/t20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ftpractice.ru/images/stories/Vahromeev/t207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22" w:rsidRPr="00083B22" w:rsidRDefault="00083B22" w:rsidP="00277233">
      <w:pPr>
        <w:pStyle w:val="a6"/>
        <w:rPr>
          <w:rFonts w:ascii="Arial" w:eastAsia="Times New Roman" w:hAnsi="Arial" w:cs="Arial"/>
          <w:color w:val="777777"/>
          <w:sz w:val="18"/>
          <w:szCs w:val="18"/>
          <w:lang w:eastAsia="ru-RU"/>
        </w:rPr>
      </w:pPr>
      <w:r w:rsidRPr="00083B22">
        <w:rPr>
          <w:rFonts w:ascii="Times New Roman" w:eastAsia="Times New Roman" w:hAnsi="Times New Roman" w:cs="Times New Roman"/>
          <w:color w:val="777777"/>
          <w:sz w:val="24"/>
          <w:szCs w:val="24"/>
          <w:lang w:eastAsia="ru-RU"/>
        </w:rPr>
        <w:t>Пример модуляции:</w:t>
      </w:r>
      <w:r w:rsidRPr="00083B22">
        <w:rPr>
          <w:rFonts w:ascii="Arial" w:eastAsia="Times New Roman" w:hAnsi="Arial" w:cs="Arial"/>
          <w:color w:val="777777"/>
          <w:sz w:val="18"/>
          <w:szCs w:val="18"/>
          <w:lang w:eastAsia="ru-RU"/>
        </w:rPr>
        <w:br/>
      </w:r>
      <w:r w:rsidRPr="00083B22">
        <w:rPr>
          <w:rFonts w:ascii="Arial" w:eastAsia="Times New Roman" w:hAnsi="Arial" w:cs="Arial"/>
          <w:noProof/>
          <w:color w:val="777777"/>
          <w:sz w:val="18"/>
          <w:szCs w:val="18"/>
          <w:lang w:eastAsia="ru-RU"/>
        </w:rPr>
        <w:drawing>
          <wp:inline distT="0" distB="0" distL="0" distR="0" wp14:anchorId="06EA1199" wp14:editId="5CB1CEA8">
            <wp:extent cx="6153150" cy="2905125"/>
            <wp:effectExtent l="0" t="0" r="0" b="9525"/>
            <wp:docPr id="3" name="Рисунок 3" descr="http://softpractice.ru/images/stories/Vahromeev/t20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ftpractice.ru/images/stories/Vahromeev/t208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22" w:rsidRPr="00083B22" w:rsidRDefault="00277233" w:rsidP="00277233">
      <w:pPr>
        <w:pStyle w:val="a6"/>
        <w:rPr>
          <w:rFonts w:ascii="Arial" w:hAnsi="Arial" w:cs="Arial"/>
          <w:color w:val="777777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083B22" w:rsidRPr="00277233">
        <w:rPr>
          <w:rFonts w:ascii="Times New Roman" w:hAnsi="Times New Roman" w:cs="Times New Roman"/>
          <w:sz w:val="28"/>
          <w:szCs w:val="28"/>
          <w:lang w:eastAsia="ru-RU"/>
        </w:rPr>
        <w:t>В большинстве случаев переход в другую тональность сопровождается появлением в мелодии случайных знаков, но бывают случаи, когда о модуляции можно судить только при наличии сопровождения (аккомпанемента), так как случайные знаки появляются лишь в нижних голосах.</w:t>
      </w:r>
      <w:r w:rsidR="00083B22" w:rsidRPr="00277233">
        <w:rPr>
          <w:rFonts w:ascii="Times New Roman" w:hAnsi="Times New Roman" w:cs="Times New Roman"/>
          <w:sz w:val="28"/>
          <w:szCs w:val="28"/>
          <w:lang w:eastAsia="ru-RU"/>
        </w:rPr>
        <w:br/>
        <w:t>Например:</w:t>
      </w:r>
      <w:r w:rsidR="00083B22" w:rsidRPr="00083B22">
        <w:rPr>
          <w:rFonts w:ascii="Arial" w:hAnsi="Arial" w:cs="Arial"/>
          <w:color w:val="777777"/>
          <w:sz w:val="18"/>
          <w:szCs w:val="18"/>
          <w:lang w:eastAsia="ru-RU"/>
        </w:rPr>
        <w:br/>
      </w:r>
      <w:r w:rsidR="00083B22" w:rsidRPr="00083B22">
        <w:rPr>
          <w:rFonts w:ascii="Arial" w:hAnsi="Arial" w:cs="Arial"/>
          <w:noProof/>
          <w:color w:val="777777"/>
          <w:sz w:val="18"/>
          <w:szCs w:val="18"/>
          <w:lang w:eastAsia="ru-RU"/>
        </w:rPr>
        <w:drawing>
          <wp:inline distT="0" distB="0" distL="0" distR="0">
            <wp:extent cx="6153150" cy="2314575"/>
            <wp:effectExtent l="0" t="0" r="0" b="9525"/>
            <wp:docPr id="2" name="Рисунок 2" descr="http://softpractice.ru/images/stories/Vahromeev/t20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ftpractice.ru/images/stories/Vahromeev/t208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22" w:rsidRPr="00083B22" w:rsidRDefault="00083B22" w:rsidP="00083B22">
      <w:pPr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083B22" w:rsidRDefault="00083B22" w:rsidP="00083B22">
      <w:pP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Домашнее задание: </w:t>
      </w:r>
      <w:r w:rsidR="00277233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Выучить правило.</w:t>
      </w:r>
      <w:r w:rsidR="00B7542E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Выполнить задание в рабочей тетради (Калинина Г.Ф.</w:t>
      </w:r>
      <w:r w:rsidR="00D95814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7 класс</w:t>
      </w:r>
      <w:r w:rsidR="00B7542E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D95814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стр.12 №1,2. Петь с </w:t>
      </w:r>
      <w:proofErr w:type="spellStart"/>
      <w:r w:rsidR="00D95814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дирижированием</w:t>
      </w:r>
      <w:proofErr w:type="spellEnd"/>
      <w:r w:rsidR="00D95814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Калмыков, </w:t>
      </w:r>
      <w:proofErr w:type="spellStart"/>
      <w:proofErr w:type="gramStart"/>
      <w:r w:rsidR="00D95814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Фридкин</w:t>
      </w:r>
      <w:proofErr w:type="spellEnd"/>
      <w:r w:rsidR="00D95814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 1</w:t>
      </w:r>
      <w:proofErr w:type="gramEnd"/>
      <w:r w:rsidR="00D95814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ч. № 567.</w:t>
      </w:r>
    </w:p>
    <w:p w:rsidR="00083B22" w:rsidRDefault="00083B22" w:rsidP="00083B22">
      <w:pP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083B22" w:rsidRDefault="00083B22" w:rsidP="00083B22">
      <w:pPr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Музыкальная литература</w:t>
      </w:r>
    </w:p>
    <w:p w:rsidR="00083B22" w:rsidRDefault="00083B22" w:rsidP="00083B22">
      <w:pPr>
        <w:jc w:val="center"/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Класс 4(4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083B22" w:rsidRDefault="00083B22" w:rsidP="00083B22">
      <w:pP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09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.04.2020г.</w:t>
      </w:r>
    </w:p>
    <w:p w:rsidR="00083B22" w:rsidRDefault="00083B22" w:rsidP="00083B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8D676B">
        <w:rPr>
          <w:rFonts w:ascii="Times New Roman" w:hAnsi="Times New Roman" w:cs="Times New Roman"/>
          <w:sz w:val="28"/>
          <w:szCs w:val="28"/>
        </w:rPr>
        <w:t xml:space="preserve">Творчество </w:t>
      </w:r>
      <w:proofErr w:type="spellStart"/>
      <w:r w:rsidRPr="008D676B">
        <w:rPr>
          <w:rFonts w:ascii="Times New Roman" w:hAnsi="Times New Roman" w:cs="Times New Roman"/>
          <w:sz w:val="28"/>
          <w:szCs w:val="28"/>
        </w:rPr>
        <w:t>Д.Д.Шостаковича</w:t>
      </w:r>
      <w:proofErr w:type="spellEnd"/>
      <w:r w:rsidRPr="008D67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5814" w:rsidRDefault="00731F9F" w:rsidP="00083B22">
      <w:pPr>
        <w:rPr>
          <w:rFonts w:ascii="Times New Roman" w:hAnsi="Times New Roman" w:cs="Times New Roman"/>
          <w:sz w:val="32"/>
          <w:szCs w:val="32"/>
        </w:rPr>
      </w:pPr>
      <w:hyperlink r:id="rId7" w:history="1">
        <w:r w:rsidRPr="00E60652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https://www.youtube.com/watch?time_continue=12&amp;v=NpkSsb1tpLY&amp;feature=emb_logo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083B22" w:rsidRPr="00DB5242" w:rsidRDefault="00083B22" w:rsidP="00083B22">
      <w:pPr>
        <w:rPr>
          <w:rFonts w:ascii="Times New Roman" w:hAnsi="Times New Roman" w:cs="Times New Roman"/>
          <w:sz w:val="28"/>
          <w:szCs w:val="28"/>
        </w:rPr>
      </w:pPr>
      <w:r w:rsidRPr="00DB5242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731F9F">
        <w:rPr>
          <w:rFonts w:ascii="Times New Roman" w:hAnsi="Times New Roman" w:cs="Times New Roman"/>
          <w:sz w:val="28"/>
          <w:szCs w:val="28"/>
        </w:rPr>
        <w:t>Подготовить биографию и обзор творчества Д.Д. Шостаковича.</w:t>
      </w:r>
      <w:bookmarkStart w:id="0" w:name="_GoBack"/>
      <w:bookmarkEnd w:id="0"/>
    </w:p>
    <w:p w:rsidR="001E44CD" w:rsidRDefault="001E44CD"/>
    <w:sectPr w:rsidR="001E44CD" w:rsidSect="00277233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C6"/>
    <w:rsid w:val="00083B22"/>
    <w:rsid w:val="001E44CD"/>
    <w:rsid w:val="00277233"/>
    <w:rsid w:val="00731F9F"/>
    <w:rsid w:val="00B7542E"/>
    <w:rsid w:val="00D95814"/>
    <w:rsid w:val="00F9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02D4CC-C4B1-4961-B818-482BAA450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B22"/>
  </w:style>
  <w:style w:type="paragraph" w:styleId="2">
    <w:name w:val="heading 2"/>
    <w:basedOn w:val="a"/>
    <w:link w:val="20"/>
    <w:uiPriority w:val="9"/>
    <w:qFormat/>
    <w:rsid w:val="00083B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3B22"/>
    <w:rPr>
      <w:b/>
      <w:bCs/>
    </w:rPr>
  </w:style>
  <w:style w:type="character" w:styleId="a4">
    <w:name w:val="Hyperlink"/>
    <w:basedOn w:val="a0"/>
    <w:uiPriority w:val="99"/>
    <w:unhideWhenUsed/>
    <w:rsid w:val="00083B22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83B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83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772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5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75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time_continue=12&amp;v=NpkSsb1tpLY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2020-04-07T16:18:00Z</dcterms:created>
  <dcterms:modified xsi:type="dcterms:W3CDTF">2020-04-07T17:06:00Z</dcterms:modified>
</cp:coreProperties>
</file>